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6243F"/>
          <w:sz w:val="36"/>
        </w:rPr>
        <w:t>Regulamin dostaw i awizacji</w:t>
      </w:r>
    </w:p>
    <w:p>
      <w:pPr>
        <w:spacing w:after="160"/>
      </w:pPr>
      <w:r>
        <w:rPr>
          <w:b w:val="0"/>
          <w:i w:val="0"/>
          <w:color w:val="5A6A7E"/>
          <w:sz w:val="20"/>
        </w:rPr>
        <w:t>[Nazwa spółki], obiekt [nazwa i adres obiektu]  |  wersja [1.0] z dnia [DD.MM.RRRR]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1E6"/>
          </w:tcPr>
          <w:p>
            <w:r>
              <w:rPr>
                <w:sz w:val="18"/>
              </w:rPr>
              <w:t>Wzór jest punktem wyjścia. Wartości w nawiasach kwadratowych [ ] trzeba uzupełnić dla obiektu, a warianty oznaczone literami wybrać. Przed wprowadzeniem regulaminu jego treść powinien przejrzeć prawnik, a paragraf 7 - służba BHP obiektu. Wzór nie zastępuje umowy z przewoźnikiem. Przykładowe wartości liczbowe zebrano w załączniku 1.</w:t>
            </w:r>
          </w:p>
        </w:tc>
      </w:tr>
    </w:tbl>
    <w:p>
      <w:pPr>
        <w:spacing w:after="40"/>
      </w:pPr>
    </w:p>
    <w:p>
      <w:pPr>
        <w:spacing w:after="60" w:before="160"/>
      </w:pPr>
      <w:r>
        <w:rPr>
          <w:b/>
          <w:i w:val="0"/>
          <w:color w:val="16243F"/>
          <w:sz w:val="22"/>
        </w:rPr>
        <w:t>§ 1 Postanowienia ogólne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1. Regulamin określa zasady awizacji dostaw i odbiorów oraz zasady poruszania się pojazdów i kierowców na terenie obiektu [nazwa obiektu], [adres] (dalej: Obiekt).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2. Regulamin stosuje się do przewoźników, dostawców, odbiorców i kierowców (dalej: Kontrahenci), którzy dostarczają towar do Obiektu albo go z niego odbierają.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3. Użyte pojęcia oznaczają: Awizacja - zgłoszenie przyjazdu pojazdu z danymi kierowcy i ładunku, powiązane z rezerwacją okna czasowego; Okno czasowe - zarezerwowany przedział czasu na obsługę pojazdu przy rampie; Tolerancja - liczba minut po rozpoczęciu okna, w której awizacja pozostaje ważna; Dyspozytor - osoba wyznaczona przez Obiekt do przydzielania ramp i terminów; Dostawa nieawizowana - przyjazd pojazdu bez zatwierdzonej awizacji.</w:t>
      </w:r>
    </w:p>
    <w:p>
      <w:pPr>
        <w:spacing w:after="60" w:before="160"/>
      </w:pPr>
      <w:r>
        <w:rPr>
          <w:b/>
          <w:i w:val="0"/>
          <w:color w:val="16243F"/>
          <w:sz w:val="22"/>
        </w:rPr>
        <w:t>§ 2 Obowiązek awizacji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1. Każdy pojazd wjeżdżający na teren Obiektu w celu rozładunku lub załadunku musi mieć zatwierdzoną awizację.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2. Awizację zakłada Kontrahent w portalu awizacyjnym pod adresem [adres portalu]. [Wariant A: Awizację można też zgłosić wiadomością e-mail na adres [adres].]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3. Awizacja staje się wiążąca dla obu stron po zatwierdzeniu przez [dział logistyki].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4. Obiekt może odmówić zatwierdzenia awizacji niezgodnej z regulaminem, wskazując przyczynę.</w:t>
      </w:r>
    </w:p>
    <w:p>
      <w:pPr>
        <w:spacing w:after="60" w:before="160"/>
      </w:pPr>
      <w:r>
        <w:rPr>
          <w:b/>
          <w:i w:val="0"/>
          <w:color w:val="16243F"/>
          <w:sz w:val="22"/>
        </w:rPr>
        <w:t>§ 3 Rezerwacja okna czasowego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1. Okno czasowe rezerwuje się z wyprzedzeniem nie krótszym niż [24] godziny i nie dłuższym niż [30] dni.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2. W awizacji podaje się numer rejestracyjny ciągnika i naczepy, dane kierowcy, rodzaj i liczbę palet oraz numer zamówienia, jeżeli dotyczy.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3. Długość okna wynika z liczby palet i rodzaju pojazdu. Podanie nieprawdziwej liczby palet może skutkować skróceniem obsługi albo przesunięciem pojazdu na inny termin.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4. Zmianę lub anulowanie awizacji Kontrahent zgłasza najpóźniej [4] godziny przed rozpoczęciem okna. Późniejsze zmiany wymagają zgody dyspozytora.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5. Każda zmiana awizacji zapisuje datę, godzinę i autora zmiany.</w:t>
      </w:r>
    </w:p>
    <w:p>
      <w:pPr>
        <w:spacing w:after="60" w:before="160"/>
      </w:pPr>
      <w:r>
        <w:rPr>
          <w:b/>
          <w:i w:val="0"/>
          <w:color w:val="16243F"/>
          <w:sz w:val="22"/>
        </w:rPr>
        <w:t>§ 4 Przyjazd i odprawa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1. Pojazd zgłasza się pod bramą w oknie czasowym.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2. Przybycie kierowca potwierdza kodem QR albo numerem awizacji, [w kiosku samoobsługowym] lub u ochrony.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3. Ochrona sprawdza zgodność pojazdu i kierowcy z awizacją oraz dokument tożsamości kierowcy.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4. Wjazd na teren następuje po wezwaniu przez [dyspozytora / system awizacji]. Do czasu wezwania pojazd oczekuje w [strefie buforowej / miejscu wskazanym przez ochronę].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5. Pojazd obsługuje się przy rampie wskazanej przez Obiekt.</w:t>
      </w:r>
    </w:p>
    <w:p>
      <w:pPr>
        <w:spacing w:after="60" w:before="160"/>
      </w:pPr>
      <w:r>
        <w:rPr>
          <w:b/>
          <w:i w:val="0"/>
          <w:color w:val="16243F"/>
          <w:sz w:val="22"/>
        </w:rPr>
        <w:t>§ 5 Spóźnienia i nieprzyjazd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1. Kontrahent zgłasza przewidywane spóźnienie niezwłocznie, [w portalu / telefonicznie pod numerem [numer]].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2. Spóźnienie zgłoszone przed rozpoczęciem okna dyspozytor przesuwa na najbliższy wolny termin, a Kontrahent otrzymuje powiadomienie o nowym terminie.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3. Awizacja pozostaje ważna do upływu tolerancji wynoszącej [15] minut od rozpoczęcia okna. Po jej upływie, bez zgłoszenia opóźnienia, awizację oznacza się jako niezrealizowaną w terminie, a dyspozytor decyduje o nowym terminie albo anulowaniu.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4. Nieprzyjazd bez anulowania skutkuje anulowaniem awizacji przez Obiekt i może zostać uwzględniony w ocenie Kontrahenta [oraz w rozliczeniach z § 8].</w:t>
      </w:r>
    </w:p>
    <w:p>
      <w:pPr>
        <w:spacing w:after="60" w:before="160"/>
      </w:pPr>
      <w:r>
        <w:rPr>
          <w:b/>
          <w:i w:val="0"/>
          <w:color w:val="16243F"/>
          <w:sz w:val="22"/>
        </w:rPr>
        <w:t>§ 6 Dostawy nieawizowane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1. Pojazd bez zatwierdzonej awizacji rejestruje ochrona w formularzu wjazdu nieawizowanego: dane kierowcy, przewoźnika, ładunku i cel wizyty.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2. Dostawy nieawizowane obsługuje się po pojazdach awizowanych, w kolejności ustalonej przez dyspozytora.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3. [Wariant A: Obiekt może odmówić przyjęcia dostawy nieawizowanej.] [Wariant B: Obiekt przyjmuje dostawę nieawizowaną, gdy dysponuje wolną rampą.]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4. Udział dostaw nieawizowanych jest uwzględniany w ocenie terminowości Kontrahenta.</w:t>
      </w:r>
    </w:p>
    <w:p>
      <w:pPr>
        <w:spacing w:after="60" w:before="160"/>
      </w:pPr>
      <w:r>
        <w:rPr>
          <w:b/>
          <w:i w:val="0"/>
          <w:color w:val="16243F"/>
          <w:sz w:val="22"/>
        </w:rPr>
        <w:t>§ 7 Zasady na terenie Obiektu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1. Kierowca zapoznaje się z regulaminem BHP Obiektu i potwierdza to [w kiosku samoobsługowym / na piśmie] przed pierwszym wjazdem oraz po każdej zmianie regulaminu BHP.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2. Na terenie Obiektu obowiązuje ograniczenie prędkości do [10] km/h oraz oznakowanie ruchu.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3. Kierowca przebywa w strefie wskazanej dla kierowców i nie wchodzi do hali bez zgody osoby uprawnionej.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4. [Pozostałe zasady wynikające z instrukcji BHP Obiektu - uzupełnia służba BHP.]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5. Naruszenie zasad może skutkować nakazem opuszczenia terenu Obiektu.</w:t>
      </w:r>
    </w:p>
    <w:p>
      <w:pPr>
        <w:spacing w:after="60" w:before="160"/>
      </w:pPr>
      <w:r>
        <w:rPr>
          <w:b/>
          <w:i w:val="0"/>
          <w:color w:val="16243F"/>
          <w:sz w:val="22"/>
        </w:rPr>
        <w:t>§ 8 Odpowiedzialność i kary umowne (paragraf opcjonalny)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1. [Wariant A: Obiekt nie nalicza kar umownych. Dane o terminowości służą do oceny Kontrahentów i rozmów o warunkach współpracy.]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2. [Wariant B: Za nieprzyjazd bez anulowania w terminie z § 3 ust. 4 Obiekt może naliczyć karę umowną w wysokości [kwota] zł. Za oczekiwanie pojazdu przekraczające czas bezpłatny, wynoszący [60] minut, Kontrahent może naliczyć opłatę w wysokości [kwota] zł za każdą rozpoczętą godzinę, jeżeli oczekiwanie wynika z przyczyn leżących po stronie Obiektu.]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3. Czas oczekiwania liczy się od [zgłoszenia pojazdu pod bramą / wjazdu na teren Obiektu].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4. Podstawą ustalenia czasu są zapisy systemu awizacji z godziną i autorem zmiany statusu. Kontrahent ma prawo wglądu w zapisy dotyczące jego pojazdów.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5. Kary umowne podlegają miarkowaniu na zasadach art. 484 § 2 Kodeksu cywilnego.</w:t>
      </w:r>
    </w:p>
    <w:p>
      <w:pPr>
        <w:spacing w:after="60" w:before="160"/>
      </w:pPr>
      <w:r>
        <w:rPr>
          <w:b/>
          <w:i w:val="0"/>
          <w:color w:val="16243F"/>
          <w:sz w:val="22"/>
        </w:rPr>
        <w:t>§ 9 Dane osobowe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1. Administratorem danych osobowych kierowców jest [nazwa spółki, adres].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2. Obiekt przetwarza imię i nazwisko, numer telefonu, numer dokumentu tożsamości i numer rejestracyjny pojazdu w celu wystawienia przepustki, powiadomienia o terminie i zapewnienia bezpieczeństwa na terenie Obiektu. [Podstawa prawna - wg oceny administratora.]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3. Dane przechowuje się przez [okres] od dnia wizyty.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4. Informację wymaganą art. 13 rozporządzenia (UE) 2016/679 kierowca otrzymuje [w kiosku przy pierwszym wjeździe / w portalu awizacyjnym].</w:t>
      </w:r>
    </w:p>
    <w:p>
      <w:pPr>
        <w:spacing w:after="60" w:before="160"/>
      </w:pPr>
      <w:r>
        <w:rPr>
          <w:b/>
          <w:i w:val="0"/>
          <w:color w:val="16243F"/>
          <w:sz w:val="22"/>
        </w:rPr>
        <w:t>§ 10 Postanowienia końcowe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1. Regulamin wchodzi w życie z dniem [data].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2. Obiekt może zmienić regulamin, publikując nową wersję [w portalu awizacyjnym] z wyprzedzeniem [14] dni. Każda wersja ma numer.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3. Zasady szczegółowe mogą wynikać z umowy z Kontrahentem. W razie rozbieżności pierwszeństwo ma [umowa / regulamin].</w:t>
      </w:r>
    </w:p>
    <w:p>
      <w:pPr>
        <w:spacing w:after="60"/>
        <w:ind w:left="283" w:hanging="283"/>
      </w:pPr>
      <w:r>
        <w:rPr>
          <w:b w:val="0"/>
          <w:i w:val="0"/>
          <w:sz w:val="20"/>
        </w:rPr>
        <w:t>4. W sprawach nieuregulowanych stosuje się przepisy prawa polskiego.</w:t>
      </w:r>
    </w:p>
    <w:p>
      <w:r>
        <w:br w:type="page"/>
      </w:r>
    </w:p>
    <w:p>
      <w:pPr>
        <w:spacing w:after="80"/>
      </w:pPr>
      <w:r>
        <w:rPr>
          <w:b/>
          <w:i w:val="0"/>
          <w:color w:val="16243F"/>
          <w:sz w:val="26"/>
        </w:rPr>
        <w:t>Załącznik 1. Parametry regulaminu</w:t>
      </w:r>
    </w:p>
    <w:p>
      <w:pPr>
        <w:spacing w:after="120"/>
      </w:pPr>
      <w:r>
        <w:rPr>
          <w:b w:val="0"/>
          <w:i w:val="0"/>
          <w:color w:val="5A6A7E"/>
          <w:sz w:val="18"/>
        </w:rPr>
        <w:t>Wartości przykładowe służą jako punkt wyjścia. Ostatnia kolumna zostaje do wpisania wartości dla Obiektu.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515"/>
            <w:shd w:val="clear" w:color="auto" w:fill="16243F"/>
          </w:tcPr>
          <w:p>
            <w:r>
              <w:rPr>
                <w:b/>
                <w:color w:val="FFFFFF"/>
                <w:sz w:val="18"/>
              </w:rPr>
              <w:t>Parametr</w:t>
            </w:r>
          </w:p>
        </w:tc>
        <w:tc>
          <w:tcPr>
            <w:tcW w:type="dxa" w:w="1361"/>
            <w:shd w:val="clear" w:color="auto" w:fill="16243F"/>
          </w:tcPr>
          <w:p>
            <w:r>
              <w:rPr>
                <w:b/>
                <w:color w:val="FFFFFF"/>
                <w:sz w:val="18"/>
              </w:rPr>
              <w:t>Paragraf</w:t>
            </w:r>
          </w:p>
        </w:tc>
        <w:tc>
          <w:tcPr>
            <w:tcW w:type="dxa" w:w="2494"/>
            <w:shd w:val="clear" w:color="auto" w:fill="16243F"/>
          </w:tcPr>
          <w:p>
            <w:r>
              <w:rPr>
                <w:b/>
                <w:color w:val="FFFFFF"/>
                <w:sz w:val="18"/>
              </w:rPr>
              <w:t>Wartość przykładowa</w:t>
            </w:r>
          </w:p>
        </w:tc>
        <w:tc>
          <w:tcPr>
            <w:tcW w:type="dxa" w:w="2268"/>
            <w:shd w:val="clear" w:color="auto" w:fill="16243F"/>
          </w:tcPr>
          <w:p>
            <w:r>
              <w:rPr>
                <w:b/>
                <w:color w:val="FFFFFF"/>
                <w:sz w:val="18"/>
              </w:rPr>
              <w:t>Wartość dla Obiektu</w:t>
            </w:r>
          </w:p>
        </w:tc>
      </w:tr>
      <w:tr>
        <w:tc>
          <w:tcPr>
            <w:tcW w:type="dxa" w:w="3515"/>
          </w:tcPr>
          <w:p>
            <w:r>
              <w:rPr>
                <w:b/>
                <w:sz w:val="18"/>
              </w:rPr>
              <w:t>Najkrótsze wyprzedzenie rezerwacji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§ 3 ust. 1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24 godziny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/>
                <w:sz w:val="18"/>
              </w:rPr>
              <w:t>Najdłuższe wyprzedzenie rezerwacji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§ 3 ust. 1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30 dni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/>
                <w:sz w:val="18"/>
              </w:rPr>
              <w:t>Zmiana lub anulowanie awizacji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§ 3 ust. 4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do 4 godzin przed oknem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/>
                <w:sz w:val="18"/>
              </w:rPr>
              <w:t>Tolerancja spóźnienia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§ 5 ust. 3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15 minut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/>
                <w:sz w:val="18"/>
              </w:rPr>
              <w:t>Czas bezpłatnego oczekiwania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§ 8 ust. 2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60 minut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/>
                <w:sz w:val="18"/>
              </w:rPr>
              <w:t>Punkt początkowy liczenia oczekiwania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§ 8 ust. 3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zgłoszenie pod bramą lub wjazd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/>
                <w:sz w:val="18"/>
              </w:rPr>
              <w:t>Ograniczenie prędkości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§ 7 ust. 2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10 km/h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/>
                <w:sz w:val="18"/>
              </w:rPr>
              <w:t>Okres przechowywania danych kierowcy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§ 9 ust. 3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do ustalenia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515"/>
          </w:tcPr>
          <w:p>
            <w:r>
              <w:rPr>
                <w:b/>
                <w:sz w:val="18"/>
              </w:rPr>
              <w:t>Wyprzedzenie zmiany regulaminu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§ 10 ust. 2</w:t>
            </w:r>
          </w:p>
        </w:tc>
        <w:tc>
          <w:tcPr>
            <w:tcW w:type="dxa" w:w="2494"/>
          </w:tcPr>
          <w:p>
            <w:r>
              <w:rPr>
                <w:sz w:val="18"/>
              </w:rPr>
              <w:t>14 dni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</w:tbl>
    <w:p>
      <w:pPr>
        <w:spacing w:after="120"/>
      </w:pPr>
      <w:r>
        <w:rPr>
          <w:b w:val="0"/>
          <w:i w:val="0"/>
          <w:sz w:val="20"/>
        </w:rPr>
      </w:r>
    </w:p>
    <w:p>
      <w:pPr>
        <w:spacing w:after="80"/>
      </w:pPr>
      <w:r>
        <w:rPr>
          <w:b w:val="0"/>
          <w:i w:val="0"/>
          <w:color w:val="5A6A7E"/>
          <w:sz w:val="16"/>
        </w:rPr>
        <w:t>Wzór opracowany przez SoftwareStudio Group Sp. z o.o. (awizacje.softwarestudio.com.pl). Nie stanowi porady prawnej.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A7E"/>
        <w:sz w:val="16"/>
      </w:rPr>
      <w:t xml:space="preserve">Regulamin dostaw i awizacji - wzór SoftwareStudio Group Sp. z o.o.  |  strona </w:t>
    </w:r>
    <w:r>
      <w:rPr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